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  <w:jc w:val="center"/>
      </w:pPr>
      <w:r>
        <w:rPr>
          <w:b/>
          <w:bCs/>
          <w:sz w:val="32"/>
          <w:szCs w:val="32"/>
        </w:rPr>
        <w:t xml:space="preserve">勞務報酬單</w:t>
      </w:r>
    </w:p>
    <w:p>
      <w:pPr>
        <w:spacing w:after="240"/>
        <w:jc w:val="center"/>
      </w:pPr>
      <w:r>
        <w:rPr>
          <w:color w:val="6B7280"/>
          <w:sz w:val="18"/>
          <w:szCs w:val="18"/>
        </w:rPr>
        <w:t xml:space="preserve">適用 2026 年（民國 115 年）扣繳規定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甲方（發款方）名稱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甲方統一編號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乙方（領款人）姓名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乙方身分證統一編號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乙方戶籍地址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勞務內容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給付日期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所得類別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領款人是否由職業工會投保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給付金額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代扣所得稅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二代健保補充保費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實領淨額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/>
                <w:bCs/>
              </w:rPr>
              <w:t xml:space="preserve">甲方簽章</w:t>
            </w:r>
          </w:p>
          <w:p/>
          <w:p/>
        </w:tc>
        <w:tc>
          <w:tcPr>
            <w:tcW w:type="pct" w:w="50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/>
                <w:bCs/>
              </w:rPr>
              <w:t xml:space="preserve">乙方簽章</w:t>
            </w:r>
          </w:p>
          <w:p/>
          <w:p/>
        </w:tc>
      </w:tr>
    </w:tbl>
    <w:p>
      <w:pPr>
        <w:spacing w:after="32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填寫說明</w:t>
      </w:r>
    </w:p>
    <w:p>
      <w:pPr>
        <w:spacing w:after="80"/>
      </w:pPr>
      <w:r>
        <w:rPr>
          <w:color w:val="4B5563"/>
          <w:sz w:val="18"/>
          <w:szCs w:val="18"/>
        </w:rPr>
        <w:t xml:space="preserve">甲方（發款方）名稱：與統一編號同屬一個營利事業；機關或非營利組織填扣繳單位名稱。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甲方統一編號：填錯會導致隔年扣繳憑單申報時對不到公司。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乙方（領款人）姓名：須與身分證件一致，不可用暱稱或藝名。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乙方身分證統一編號：外籍領款人填居留證號。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乙方戶籍地址：用於寄送扣繳憑單，與實際居住地不同時以戶籍地為準。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勞務內容：寫清楚實際提供的勞務，查核時用於佐證所得類別的判斷。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給付日期：決定申報期間與門檻判斷的區間；同一天的多筆給付要合併判斷門檻。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所得類別：依雙方法律關係與所得性質判斷，不是依工作內容的名稱。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領款人是否由職業工會投保：由職業工會投保者，這筆給付不扣二代健保補充保費。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給付金額：未扣繳前的金額。改這一格，下面三欄會自動重算。</w:t>
      </w:r>
    </w:p>
    <w:p>
      <w:pPr>
        <w:spacing w:after="80"/>
      </w:pPr>
      <w:r>
        <w:rPr>
          <w:color w:val="4B5563"/>
          <w:sz w:val="18"/>
          <w:szCs w:val="18"/>
        </w:rPr>
        <w:t xml:space="preserve">實領淨額：給付金額減兩項扣繳。四個金額欄位必須相減得起來。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填寫範例</w:t>
      </w:r>
    </w:p>
    <w:p>
      <w:pPr>
        <w:spacing w:after="160"/>
      </w:pPr>
      <w:r>
        <w:rPr>
          <w:color w:val="4B5563"/>
          <w:sz w:val="18"/>
          <w:szCs w:val="18"/>
        </w:rPr>
        <w:t xml:space="preserve">以 9A 執行業務所得、給付 50,000 元為例，代扣所得稅 5,000 元、補充保費 1,055 元、實領 43,945 元。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甲方（發款方）名稱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○○顧問有限公司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甲方統一編號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12345678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乙方（領款人）姓名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王小明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乙方身分證統一編號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A123456789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乙方戶籍地址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台北市中正區○○路 1 號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勞務內容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品牌顧問諮詢（3 場）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給付日期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2026-07-22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所得類別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9A 執行業務所得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領款人是否由職業工會投保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否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給付金額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NT$ 50,000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代扣所得稅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NT$ 5,000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二代健保補充保費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NT$ 1,055</w:t>
            </w:r>
          </w:p>
        </w:tc>
      </w:tr>
      <w:tr>
        <w:tc>
          <w:tcPr>
            <w:tcW w:type="pct" w:w="34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  <w:shd w:fill="F3F4F6"/>
          </w:tcPr>
          <w:p>
            <w:r>
              <w:rPr>
                <w:b/>
                <w:bCs/>
              </w:rPr>
              <w:t xml:space="preserve">實領淨額</w:t>
            </w:r>
          </w:p>
        </w:tc>
        <w:tc>
          <w:tcPr>
            <w:tcW w:type="pct" w:w="66%"/>
            <w:tcBorders>
              <w:top w:val="single" w:color="D4D4D8" w:sz="4"/>
              <w:left w:val="single" w:color="D4D4D8" w:sz="4"/>
              <w:bottom w:val="single" w:color="D4D4D8" w:sz="4"/>
              <w:right w:val="single" w:color="D4D4D8" w:sz="4"/>
            </w:tcBorders>
          </w:tcPr>
          <w:p>
            <w:r>
              <w:rPr>
                <w:b w:val="false"/>
                <w:bCs w:val="false"/>
              </w:rPr>
              <w:t xml:space="preserve">NT$ 43,945</w:t>
            </w:r>
          </w:p>
        </w:tc>
      </w:tr>
    </w:tbl>
    <w:p>
      <w:pPr>
        <w:spacing w:after="280"/>
      </w:pPr>
    </w:p>
    <w:p>
      <w:pPr>
        <w:spacing w:after="80"/>
      </w:pPr>
      <w:r>
        <w:rPr>
          <w:color w:val="6B7280"/>
          <w:sz w:val="18"/>
          <w:szCs w:val="18"/>
        </w:rPr>
        <w:t xml:space="preserve">本範本適用本國籍居住者。外國籍未滿 183 天（非居住者）的扣繳率另有規定，請改用線上工具試算。</w:t>
      </w:r>
    </w:p>
    <w:p>
      <w:pPr>
        <w:spacing w:after="80"/>
      </w:pPr>
      <w:r>
        <w:rPr>
          <w:color w:val="6B7280"/>
          <w:sz w:val="18"/>
          <w:szCs w:val="18"/>
        </w:rPr>
        <w:t xml:space="preserve">Word 版無法自動計算，三個扣繳欄位需自行填入。要自動算，請用同一頁提供的 Excel 版或線上工具。</w:t>
      </w:r>
    </w:p>
    <w:p>
      <w:pPr>
        <w:spacing w:after="200"/>
      </w:pPr>
      <w:r>
        <w:rPr>
          <w:color w:val="6B7280"/>
          <w:sz w:val="18"/>
          <w:szCs w:val="18"/>
        </w:rPr>
        <w:t xml:space="preserve">跨年後稅率與門檻會變，這份檔案不會自動更新；要一直用當年規則，直接在線上開單：</w:t>
      </w:r>
      <w:hyperlink w:history="1" r:id="rIdbbsmzzvrq30nzdyi12gfc">
        <w:r>
          <w:rPr>
            <w:color w:val="2563EB"/>
            <w:sz w:val="18"/>
            <w:szCs w:val="18"/>
            <w:u w:val="single"/>
          </w:rPr>
          <w:t xml:space="preserve">https://slipkit.jerrytech.me/</w:t>
        </w:r>
      </w:hyperlink>
    </w:p>
    <w:p>
      <w:pPr>
        <w:spacing w:after="160"/>
      </w:pPr>
      <w:r>
        <w:rPr>
          <w:b/>
          <w:bCs/>
          <w:sz w:val="20"/>
          <w:szCs w:val="20"/>
        </w:rPr>
        <w:t xml:space="preserve">稅務依據</w:t>
      </w:r>
    </w:p>
    <w:p>
      <w:pPr>
        <w:spacing w:after="60"/>
      </w:pPr>
      <w:r>
        <w:rPr>
          <w:color w:val="6B7280"/>
          <w:sz w:val="16"/>
          <w:szCs w:val="16"/>
        </w:rPr>
        <w:t xml:space="preserve">各類所得扣繳率標準：</w:t>
      </w:r>
      <w:hyperlink w:history="1" r:id="rIdnucpcmsv4nqahw7bqh3fg">
        <w:r>
          <w:rPr>
            <w:color w:val="2563EB"/>
            <w:sz w:val="16"/>
            <w:szCs w:val="16"/>
            <w:u w:val="single"/>
          </w:rPr>
          <w:t xml:space="preserve">https://law.moj.gov.tw/LawClass/LawAll.aspx?pcode=G0340028</w:t>
        </w:r>
      </w:hyperlink>
    </w:p>
    <w:p>
      <w:pPr>
        <w:spacing w:after="60"/>
      </w:pPr>
      <w:r>
        <w:rPr>
          <w:color w:val="6B7280"/>
          <w:sz w:val="16"/>
          <w:szCs w:val="16"/>
        </w:rPr>
        <w:t xml:space="preserve">財政部：115 年度薪資所得扣繳起扣標準：</w:t>
      </w:r>
      <w:hyperlink w:history="1" r:id="rIdnxut9gm7np9mwetjpzsfa">
        <w:r>
          <w:rPr>
            <w:color w:val="2563EB"/>
            <w:sz w:val="16"/>
            <w:szCs w:val="16"/>
            <w:u w:val="single"/>
          </w:rPr>
          <w:t xml:space="preserve">https://www.etax.nat.gov.tw/etwmain/tax-info/understanding/tax-q-and-a/national/individual-income-tax/withheld-rule/rule/n3x6znM</w:t>
        </w:r>
      </w:hyperlink>
    </w:p>
    <w:p>
      <w:pPr>
        <w:spacing w:after="60"/>
      </w:pPr>
      <w:r>
        <w:rPr>
          <w:color w:val="6B7280"/>
          <w:sz w:val="16"/>
          <w:szCs w:val="16"/>
        </w:rPr>
        <w:t xml:space="preserve">財政部：執行業務所得如何辦理扣繳：</w:t>
      </w:r>
      <w:hyperlink w:history="1" r:id="rIdujuqtqioajrczxblbpbpg">
        <w:r>
          <w:rPr>
            <w:color w:val="2563EB"/>
            <w:sz w:val="16"/>
            <w:szCs w:val="16"/>
            <w:u w:val="single"/>
          </w:rPr>
          <w:t xml:space="preserve">https://www.etax.nat.gov.tw/etwmain/tax-info/understanding/tax-q-and-a/national/individual-income-tax/withheld-rule/rule/a7BB6R9</w:t>
        </w:r>
      </w:hyperlink>
    </w:p>
    <w:p>
      <w:pPr>
        <w:spacing w:after="60"/>
      </w:pPr>
      <w:r>
        <w:rPr>
          <w:color w:val="6B7280"/>
          <w:sz w:val="16"/>
          <w:szCs w:val="16"/>
        </w:rPr>
        <w:t xml:space="preserve">全民健康保險扣取及繳納補充保險費辦法：</w:t>
      </w:r>
      <w:hyperlink w:history="1" r:id="rIdihquu9bjx_riqyzyca1t3">
        <w:r>
          <w:rPr>
            <w:color w:val="2563EB"/>
            <w:sz w:val="16"/>
            <w:szCs w:val="16"/>
            <w:u w:val="single"/>
          </w:rPr>
          <w:t xml:space="preserve">https://law.moj.gov.tw/LawClass/LawAll.aspx?pcode=L0060027</w:t>
        </w:r>
      </w:hyperlink>
    </w:p>
    <w:p>
      <w:pPr>
        <w:spacing w:after="60"/>
      </w:pPr>
      <w:r>
        <w:rPr>
          <w:color w:val="6B7280"/>
          <w:sz w:val="16"/>
          <w:szCs w:val="16"/>
        </w:rPr>
        <w:t xml:space="preserve">衛福部：補充保險費費率調整為 2.11%：</w:t>
      </w:r>
      <w:hyperlink w:history="1" r:id="rIdyypd7xjb9wpycw0qtuf2c">
        <w:r>
          <w:rPr>
            <w:color w:val="2563EB"/>
            <w:sz w:val="16"/>
            <w:szCs w:val="16"/>
            <w:u w:val="single"/>
          </w:rPr>
          <w:t xml:space="preserve">https://www.mohw.gov.tw/cp-4624-57420-1.html</w:t>
        </w:r>
      </w:hyperlink>
    </w:p>
    <w:p>
      <w:pPr>
        <w:spacing w:after="60"/>
      </w:pPr>
      <w:r>
        <w:rPr>
          <w:color w:val="6B7280"/>
          <w:sz w:val="16"/>
          <w:szCs w:val="16"/>
        </w:rPr>
        <w:t xml:space="preserve">勞動部：115 年最低工資為每月 29,500 元：</w:t>
      </w:r>
      <w:hyperlink w:history="1" r:id="rId10cmrzgbygso8v3yugony">
        <w:r>
          <w:rPr>
            <w:color w:val="2563EB"/>
            <w:sz w:val="16"/>
            <w:szCs w:val="16"/>
            <w:u w:val="single"/>
          </w:rPr>
          <w:t xml:space="preserve">https://www.mol.gov.tw/1607/28162/28166/28180/28182/28188/29025/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smzzvrq30nzdyi12gfc" Type="http://schemas.openxmlformats.org/officeDocument/2006/relationships/hyperlink" Target="https://slipkit.jerrytech.me/" TargetMode="External"/><Relationship Id="rIdnucpcmsv4nqahw7bqh3fg" Type="http://schemas.openxmlformats.org/officeDocument/2006/relationships/hyperlink" Target="https://law.moj.gov.tw/LawClass/LawAll.aspx?pcode=G0340028" TargetMode="External"/><Relationship Id="rIdnxut9gm7np9mwetjpzsfa" Type="http://schemas.openxmlformats.org/officeDocument/2006/relationships/hyperlink" Target="https://www.etax.nat.gov.tw/etwmain/tax-info/understanding/tax-q-and-a/national/individual-income-tax/withheld-rule/rule/n3x6znM" TargetMode="External"/><Relationship Id="rIdujuqtqioajrczxblbpbpg" Type="http://schemas.openxmlformats.org/officeDocument/2006/relationships/hyperlink" Target="https://www.etax.nat.gov.tw/etwmain/tax-info/understanding/tax-q-and-a/national/individual-income-tax/withheld-rule/rule/a7BB6R9" TargetMode="External"/><Relationship Id="rIdihquu9bjx_riqyzyca1t3" Type="http://schemas.openxmlformats.org/officeDocument/2006/relationships/hyperlink" Target="https://law.moj.gov.tw/LawClass/LawAll.aspx?pcode=L0060027" TargetMode="External"/><Relationship Id="rIdyypd7xjb9wpycw0qtuf2c" Type="http://schemas.openxmlformats.org/officeDocument/2006/relationships/hyperlink" Target="https://www.mohw.gov.tw/cp-4624-57420-1.html" TargetMode="External"/><Relationship Id="rId10cmrzgbygso8v3yugony" Type="http://schemas.openxmlformats.org/officeDocument/2006/relationships/hyperlink" Target="https://www.mol.gov.tw/1607/28162/28166/28180/28182/28188/29025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勞報單範本 2026</dc:title>
  <dc:creator>Slipkit</dc:creator>
  <dc:description>勞務報酬單範本（適用 2026 年扣繳規定）</dc:description>
  <cp:lastModifiedBy>Un-named</cp:lastModifiedBy>
  <cp:revision>1</cp:revision>
  <dcterms:created xsi:type="dcterms:W3CDTF">2026-09-30T13:46:34.125Z</dcterms:created>
  <dcterms:modified xsi:type="dcterms:W3CDTF">2026-09-30T13:46:34.125Z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